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9.png" ContentType="image/png"/>
  <Override PartName="/word/media/rId29.png" ContentType="image/png"/>
  <Override PartName="/word/media/rId35.jpg" ContentType="image/jpeg"/>
  <Override PartName="/word/media/rId41.png" ContentType="image/png"/>
  <Override PartName="/word/media/rId53.jpg" ContentType="image/jpeg"/>
  <Override PartName="/word/media/rId69.jpg" ContentType="image/jpeg"/>
  <Override PartName="/word/media/rId80.png" ContentType="image/png"/>
  <Override PartName="/word/media/rId88.png" ContentType="image/png"/>
  <Override PartName="/word/media/rId92.png" ContentType="image/png"/>
  <Override PartName="/word/media/rId111.png" ContentType="image/png"/>
  <Override PartName="/word/media/rId116.jpg" ContentType="image/jpeg"/>
  <Override PartName="/word/media/rId121.jpg" ContentType="image/jpeg"/>
  <Override PartName="/word/media/rId125.jpg" ContentType="image/jpeg"/>
  <Override PartName="/word/media/rId133.jpg" ContentType="image/jpeg"/>
  <Override PartName="/word/media/rId147.png" ContentType="image/png"/>
  <Override PartName="/word/media/rId151.png" ContentType="image/png"/>
  <Override PartName="/word/media/rId163.png" ContentType="image/png"/>
  <Override PartName="/word/media/rId168.jpg" ContentType="image/jpeg"/>
  <Override PartName="/word/media/rId172.jpg" ContentType="image/jpeg"/>
  <Override PartName="/word/media/rId175.jpg" ContentType="image/jpeg"/>
  <Override PartName="/word/media/rId179.png" ContentType="image/png"/>
  <Override PartName="/word/media/rId183.png" ContentType="image/png"/>
  <Override PartName="/word/media/rId188.png" ContentType="image/png"/>
  <Override PartName="/word/media/rId19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06</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8"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8" w:name="fig-1.1"/>
          <w:p>
            <w:pPr>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6" w:name="fig-1.2"/>
          <w:p>
            <w:pPr>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52"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amazel\AppData\Local\Programs\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pPr>
              <w:spacing w:after="16"/>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tc>
      </w:tr>
    </w:tbl>
    <w:bookmarkEnd w:id="52"/>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Pr>
      <w:tblGrid>
        <w:gridCol w:w="7920"/>
      </w:tblGrid>
      <w:tr>
        <w:tc>
          <w:tcPr/>
          <w:bookmarkStart w:id="56" w:name="fig-1.3"/>
          <w:p>
            <w:pPr>
              <w:jc w:val="center"/>
            </w:pPr>
            <w:r>
              <w:drawing>
                <wp:inline>
                  <wp:extent cx="5943600" cy="2650146"/>
                  <wp:effectExtent b="0" l="0" r="0" t="0"/>
                  <wp:docPr descr="" title="" id="54" name="Picture"/>
                  <a:graphic>
                    <a:graphicData uri="http://schemas.openxmlformats.org/drawingml/2006/picture">
                      <pic:pic>
                        <pic:nvPicPr>
                          <pic:cNvPr descr="images/fig1-4.jpg" id="55" name="Picture"/>
                          <pic:cNvPicPr>
                            <a:picLocks noChangeArrowheads="1" noChangeAspect="1"/>
                          </pic:cNvPicPr>
                        </pic:nvPicPr>
                        <pic:blipFill>
                          <a:blip r:embed="rId53"/>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6"/>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7"/>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8"/>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7"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w:t>
            </w:r>
            <w:r>
              <w:t xml:space="preserve"> </w:t>
            </w:r>
            <w:r>
              <w:t xml:space="preserve">(1978)</w:t>
            </w:r>
            <w:r>
              <w:t xml:space="preserve"> </w:t>
            </w:r>
            <w:r>
              <w:t xml:space="preserve">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bookmarkStart w:id="66" w:name="tbl-t1t2"/>
          <w:p>
            <w:pPr>
              <w:pStyle w:val="TableCaption"/>
            </w:pPr>
            <w:r>
              <w:t xml:space="preserve">Table 1.1: Maynard Smith’s Model</w:t>
            </w:r>
          </w:p>
          <w:tbl>
            <w:tblPr>
              <w:tblStyle w:val="Table"/>
              <w:tblW w:type="pct" w:w="5000"/>
              <w:tblLook w:firstRow="1" w:lastRow="0" w:firstColumn="0" w:lastColumn="0" w:noHBand="0" w:noVBand="0" w:val="0020"/>
              <w:jc w:val="start"/>
              <w:tblCaption w:val="Table 1.1: Maynard Smith’s Model"/>
            </w:tblPr>
            <w:tblGrid>
              <w:gridCol w:w="1160"/>
              <w:gridCol w:w="2068"/>
              <w:gridCol w:w="4691"/>
            </w:tblGrid>
            <w:tr>
              <w:trPr>
                <w:tblHeader w:val="true"/>
              </w:trPr>
              <w:tc>
                <w:tcPr/>
                <w:p>
                  <w:pPr>
                    <w:pStyle w:val="Compact"/>
                  </w:pPr>
                </w:p>
              </w:tc>
              <w:tc>
                <w:tcPr/>
                <w:p>
                  <w:pPr>
                    <w:pStyle w:val="Compact"/>
                    <w:jc w:val="center"/>
                  </w:pPr>
                  <w:r>
                    <w:rPr>
                      <w:bCs/>
                      <w:b/>
                    </w:rPr>
                    <w:t xml:space="preserve">Time One</w:t>
                  </w:r>
                </w:p>
              </w:tc>
              <w:tc>
                <w:tcPr/>
                <w:p>
                  <w:pPr>
                    <w:pStyle w:val="Compact"/>
                    <w:jc w:val="center"/>
                  </w:pPr>
                  <w:r>
                    <w:rPr>
                      <w:bCs/>
                      <w:b/>
                    </w:rPr>
                    <w:t xml:space="preserve">Time Two</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6"/>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7"/>
    <w:bookmarkEnd w:id="68"/>
    <w:bookmarkStart w:id="115"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70" name="Picture"/>
                  <a:graphic>
                    <a:graphicData uri="http://schemas.openxmlformats.org/drawingml/2006/picture">
                      <pic:pic>
                        <pic:nvPicPr>
                          <pic:cNvPr descr="images/fig2-1.jpeg" id="71" name="Picture"/>
                          <pic:cNvPicPr>
                            <a:picLocks noChangeArrowheads="1" noChangeAspect="1"/>
                          </pic:cNvPicPr>
                        </pic:nvPicPr>
                        <pic:blipFill>
                          <a:blip r:embed="rId69"/>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7"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bookmarkStart w:id="75" w:name="tbl-bh"/>
    <w:p>
      <w:pPr>
        <w:pStyle w:val="TableCaption"/>
      </w:pPr>
      <w:r>
        <w:t xml:space="preserve">Table 2.1: Bet Hedging</w:t>
      </w:r>
    </w:p>
    <w:tbl>
      <w:tblPr>
        <w:tblStyle w:val="Table"/>
        <w:tblW w:type="auto" w:w="0"/>
        <w:tblLook w:firstRow="1" w:lastRow="0" w:firstColumn="0" w:lastColumn="0" w:noHBand="0" w:noVBand="0" w:val="0020"/>
        <w:jc w:val="start"/>
        <w:tblCaption w:val="Table 2.1: Bet Hedging"/>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3"/>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4"/>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bookmarkEnd w:id="75"/>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7"/>
    <w:bookmarkStart w:id="86"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8"/>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3" w:name="fig-2-2"/>
          <w:p>
            <w:pPr>
              <w:jc w:val="center"/>
            </w:pPr>
            <w:r>
              <w:drawing>
                <wp:inline>
                  <wp:extent cx="4642338" cy="4489428"/>
                  <wp:effectExtent b="0" l="0" r="0" t="0"/>
                  <wp:docPr descr="" title="" id="81" name="Picture"/>
                  <a:graphic>
                    <a:graphicData uri="http://schemas.openxmlformats.org/drawingml/2006/picture">
                      <pic:pic>
                        <pic:nvPicPr>
                          <pic:cNvPr descr="images/fig2-2_hr.png" id="82" name="Picture"/>
                          <pic:cNvPicPr>
                            <a:picLocks noChangeArrowheads="1" noChangeAspect="1"/>
                          </pic:cNvPicPr>
                        </pic:nvPicPr>
                        <pic:blipFill>
                          <a:blip r:embed="rId8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r:id="rId85">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6"/>
    <w:bookmarkStart w:id="10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91" w:name="fig-2-3"/>
          <w:p>
            <w:pPr>
              <w:jc w:val="center"/>
            </w:pPr>
            <w:r>
              <w:drawing>
                <wp:inline>
                  <wp:extent cx="4657629" cy="5767753"/>
                  <wp:effectExtent b="0" l="0" r="0" t="0"/>
                  <wp:docPr descr="" title="" id="89" name="Picture"/>
                  <a:graphic>
                    <a:graphicData uri="http://schemas.openxmlformats.org/drawingml/2006/picture">
                      <pic:pic>
                        <pic:nvPicPr>
                          <pic:cNvPr descr="images/fig2-3_hr.png" id="90" name="Picture"/>
                          <pic:cNvPicPr>
                            <a:picLocks noChangeArrowheads="1" noChangeAspect="1"/>
                          </pic:cNvPicPr>
                        </pic:nvPicPr>
                        <pic:blipFill>
                          <a:blip r:embed="rId88"/>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Pr>
      <w:tblGrid>
        <w:gridCol w:w="7920"/>
      </w:tblGrid>
      <w:tr>
        <w:tc>
          <w:tcPr/>
          <w:bookmarkStart w:id="95" w:name="fig-2-4"/>
          <w:p>
            <w:pPr>
              <w:jc w:val="center"/>
            </w:pPr>
            <w:r>
              <w:drawing>
                <wp:inline>
                  <wp:extent cx="5943600" cy="3970755"/>
                  <wp:effectExtent b="0" l="0" r="0" t="0"/>
                  <wp:docPr descr="" title="" id="93" name="Picture"/>
                  <a:graphic>
                    <a:graphicData uri="http://schemas.openxmlformats.org/drawingml/2006/picture">
                      <pic:pic>
                        <pic:nvPicPr>
                          <pic:cNvPr descr="images/fig2-4_hr.png" id="94" name="Picture"/>
                          <pic:cNvPicPr>
                            <a:picLocks noChangeArrowheads="1" noChangeAspect="1"/>
                          </pic:cNvPicPr>
                        </pic:nvPicPr>
                        <pic:blipFill>
                          <a:blip r:embed="rId92"/>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5"/>
        </w:tc>
      </w:tr>
    </w:tbl>
    <w:bookmarkStart w:id="9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8"/>
      </w:r>
    </w:p>
    <w:bookmarkEnd w:id="99"/>
    <w:bookmarkStart w:id="10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100"/>
      </w:r>
      <w:r>
        <w:t xml:space="preserve"> </w:t>
      </w:r>
      <w:r>
        <w:t xml:space="preserve">(1978)</w:t>
      </w:r>
      <w:r>
        <w:t xml:space="preserve">, Jaenike</w:t>
      </w:r>
      <w:r>
        <w:rPr>
          <w:rStyle w:val="FootnoteReference"/>
        </w:rPr>
        <w:footnoteReference w:id="101"/>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3"/>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5</w:t>
        </w:r>
      </w:hyperlink>
      <w:r>
        <w:t xml:space="preserve">.</w:t>
      </w:r>
      <w:r>
        <w:rPr>
          <w:rStyle w:val="FootnoteReference"/>
        </w:rPr>
        <w:footnoteReference w:id="104"/>
      </w:r>
    </w:p>
    <w:bookmarkEnd w:id="105"/>
    <w:bookmarkEnd w:id="106"/>
    <w:bookmarkStart w:id="107"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7"/>
    <w:bookmarkStart w:id="114" w:name="X2ea033902584f9aff376773f07db26fcf98bfe9"/>
    <w:p>
      <w:pPr>
        <w:pStyle w:val="Heading2"/>
      </w:pPr>
      <w:r>
        <w:t xml:space="preserve">2.5 Appendix A: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bookmarkStart w:id="108" w:name="tbl-lev"/>
    <w:p>
      <w:pPr>
        <w:pStyle w:val="TableCaption"/>
      </w:pPr>
      <w:r>
        <w:t xml:space="preserve">Table 2.2: Levene’s Example</w:t>
      </w:r>
    </w:p>
    <w:tbl>
      <w:tblPr>
        <w:tblStyle w:val="Table"/>
        <w:tblW w:type="pct" w:w="5000"/>
        <w:tblLook w:firstRow="1" w:lastRow="0" w:firstColumn="0" w:lastColumn="0" w:noHBand="0" w:noVBand="0" w:val="0020"/>
        <w:jc w:val="start"/>
        <w:tblCaption w:val="Table 2.2: Levene’s Example"/>
      </w:tblPr>
      <w:tblGrid>
        <w:gridCol w:w="990"/>
        <w:gridCol w:w="1881"/>
        <w:gridCol w:w="1881"/>
        <w:gridCol w:w="1683"/>
        <w:gridCol w:w="1485"/>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bookmarkEnd w:id="108"/>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bookmarkStart w:id="109" w:name="tbl-pro"/>
    <w:p>
      <w:pPr>
        <w:pStyle w:val="TableCaption"/>
      </w:pPr>
      <w:r>
        <w:t xml:space="preserve">Table 2.3: Prout’s Example</w:t>
      </w:r>
    </w:p>
    <w:tbl>
      <w:tblPr>
        <w:tblStyle w:val="Table"/>
        <w:tblW w:type="pct" w:w="5000"/>
        <w:tblLook w:firstRow="1" w:lastRow="0" w:firstColumn="0" w:lastColumn="0" w:noHBand="0" w:noVBand="0" w:val="0020"/>
        <w:jc w:val="start"/>
        <w:tblCaption w:val="Table 2.3: Prout’s Example"/>
      </w:tblPr>
      <w:tblGrid>
        <w:gridCol w:w="977"/>
        <w:gridCol w:w="1857"/>
        <w:gridCol w:w="1857"/>
        <w:gridCol w:w="1662"/>
        <w:gridCol w:w="1564"/>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bookmarkEnd w:id="109"/>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0"/>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427981"/>
                  <wp:effectExtent b="0" l="0" r="0" t="0"/>
                  <wp:docPr descr="" title="" id="112" name="Picture"/>
                  <a:graphic>
                    <a:graphicData uri="http://schemas.openxmlformats.org/drawingml/2006/picture">
                      <pic:pic>
                        <pic:nvPicPr>
                          <pic:cNvPr descr="images/fig2-5_hr.png" id="113" name="Picture"/>
                          <pic:cNvPicPr>
                            <a:picLocks noChangeArrowheads="1" noChangeAspect="1"/>
                          </pic:cNvPicPr>
                        </pic:nvPicPr>
                        <pic:blipFill>
                          <a:blip r:embed="rId111"/>
                          <a:stretch>
                            <a:fillRect/>
                          </a:stretch>
                        </pic:blipFill>
                        <pic:spPr bwMode="auto">
                          <a:xfrm>
                            <a:off x="0" y="0"/>
                            <a:ext cx="5943600" cy="3427981"/>
                          </a:xfrm>
                          <a:prstGeom prst="rect">
                            <a:avLst/>
                          </a:prstGeom>
                          <a:noFill/>
                          <a:ln w="9525">
                            <a:noFill/>
                            <a:headEnd/>
                            <a:tailEnd/>
                          </a:ln>
                        </pic:spPr>
                      </pic:pic>
                    </a:graphicData>
                  </a:graphic>
                </wp:inline>
              </w:drawing>
            </w:r>
          </w:p>
          <w:p>
            <w:pPr>
              <w:jc w:val="center"/>
            </w:pPr>
            <w:pPr>
              <w:jc w:val="start"/>
              <w:spacing w:before="200"/>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tc>
      </w:tr>
    </w:tbl>
    <w:bookmarkEnd w:id="114"/>
    <w:bookmarkEnd w:id="115"/>
    <w:bookmarkStart w:id="167"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7" name="Picture"/>
                  <a:graphic>
                    <a:graphicData uri="http://schemas.openxmlformats.org/drawingml/2006/picture">
                      <pic:pic>
                        <pic:nvPicPr>
                          <pic:cNvPr descr="images/fig3-1.jpeg" id="118" name="Picture"/>
                          <pic:cNvPicPr>
                            <a:picLocks noChangeArrowheads="1" noChangeAspect="1"/>
                          </pic:cNvPicPr>
                        </pic:nvPicPr>
                        <pic:blipFill>
                          <a:blip r:embed="rId116"/>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4" w:name="fig-3-2"/>
          <w:p>
            <w:pPr>
              <w:jc w:val="center"/>
            </w:pPr>
            <w:r>
              <w:drawing>
                <wp:inline>
                  <wp:extent cx="2377440" cy="3076687"/>
                  <wp:effectExtent b="0" l="0" r="0" t="0"/>
                  <wp:docPr descr="" title="" id="122" name="Picture"/>
                  <a:graphic>
                    <a:graphicData uri="http://schemas.openxmlformats.org/drawingml/2006/picture">
                      <pic:pic>
                        <pic:nvPicPr>
                          <pic:cNvPr descr="images/fig3-2.jpeg" id="123" name="Picture"/>
                          <pic:cNvPicPr>
                            <a:picLocks noChangeArrowheads="1" noChangeAspect="1"/>
                          </pic:cNvPicPr>
                        </pic:nvPicPr>
                        <pic:blipFill>
                          <a:blip r:embed="rId121"/>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8" w:name="fig-3-3"/>
          <w:p>
            <w:pPr>
              <w:jc w:val="center"/>
            </w:pPr>
            <w:r>
              <w:drawing>
                <wp:inline>
                  <wp:extent cx="2377440" cy="2657717"/>
                  <wp:effectExtent b="0" l="0" r="0" t="0"/>
                  <wp:docPr descr="" title="" id="126" name="Picture"/>
                  <a:graphic>
                    <a:graphicData uri="http://schemas.openxmlformats.org/drawingml/2006/picture">
                      <pic:pic>
                        <pic:nvPicPr>
                          <pic:cNvPr descr="images/fig3-3.jpeg" id="127" name="Picture"/>
                          <pic:cNvPicPr>
                            <a:picLocks noChangeArrowheads="1" noChangeAspect="1"/>
                          </pic:cNvPicPr>
                        </pic:nvPicPr>
                        <pic:blipFill>
                          <a:blip r:embed="rId125"/>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0"/>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1"/>
      </w:r>
    </w:p>
    <w:bookmarkStart w:id="14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7" w:name="fig-3-4"/>
          <w:p>
            <w:pPr>
              <w:jc w:val="center"/>
            </w:pPr>
            <w:r>
              <w:drawing>
                <wp:inline>
                  <wp:extent cx="5943600" cy="3965495"/>
                  <wp:effectExtent b="0" l="0" r="0" t="0"/>
                  <wp:docPr descr="" title="" id="134" name="Picture"/>
                  <a:graphic>
                    <a:graphicData uri="http://schemas.openxmlformats.org/drawingml/2006/picture">
                      <pic:pic>
                        <pic:nvPicPr>
                          <pic:cNvPr descr="images/fig3-4.jpeg" id="135" name="Picture"/>
                          <pic:cNvPicPr>
                            <a:picLocks noChangeArrowheads="1" noChangeAspect="1"/>
                          </pic:cNvPicPr>
                        </pic:nvPicPr>
                        <pic:blipFill>
                          <a:blip r:embed="rId133"/>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6">
              <w:r>
                <w:rPr>
                  <w:rStyle w:val="Hyperlink"/>
                </w:rPr>
                <w:t xml:space="preserve">Bart Zijlstra</w:t>
              </w:r>
            </w:hyperlink>
            <w:r>
              <w:t xml:space="preserve">.</w:t>
            </w:r>
          </w:p>
          <w:bookmarkEnd w:id="13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9"/>
    <w:bookmarkEnd w:id="140"/>
    <w:bookmarkStart w:id="15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6"/>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50" w:name="fig-3-5"/>
          <w:p>
            <w:pPr>
              <w:jc w:val="center"/>
            </w:pPr>
            <w:r>
              <w:drawing>
                <wp:inline>
                  <wp:extent cx="5943600" cy="5878179"/>
                  <wp:effectExtent b="0" l="0" r="0" t="0"/>
                  <wp:docPr descr="" title="" id="148" name="Picture"/>
                  <a:graphic>
                    <a:graphicData uri="http://schemas.openxmlformats.org/drawingml/2006/picture">
                      <pic:pic>
                        <pic:nvPicPr>
                          <pic:cNvPr descr="images/fig3-5_hr.png" id="149" name="Picture"/>
                          <pic:cNvPicPr>
                            <a:picLocks noChangeArrowheads="1" noChangeAspect="1"/>
                          </pic:cNvPicPr>
                        </pic:nvPicPr>
                        <pic:blipFill>
                          <a:blip r:embed="rId147"/>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4" w:name="fig-3-6"/>
          <w:p>
            <w:pPr>
              <w:jc w:val="center"/>
            </w:pPr>
            <w:r>
              <w:drawing>
                <wp:inline>
                  <wp:extent cx="5943600" cy="7691717"/>
                  <wp:effectExtent b="0" l="0" r="0" t="0"/>
                  <wp:docPr descr="" title="" id="152" name="Picture"/>
                  <a:graphic>
                    <a:graphicData uri="http://schemas.openxmlformats.org/drawingml/2006/picture">
                      <pic:pic>
                        <pic:nvPicPr>
                          <pic:cNvPr descr="images/fig3-6_hr.png" id="153" name="Picture"/>
                          <pic:cNvPicPr>
                            <a:picLocks noChangeArrowheads="1" noChangeAspect="1"/>
                          </pic:cNvPicPr>
                        </pic:nvPicPr>
                        <pic:blipFill>
                          <a:blip r:embed="rId15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8"/>
      </w:r>
      <w:r>
        <w:t xml:space="preserve"> </w:t>
      </w:r>
      <w:r>
        <w:t xml:space="preserve">But the results do imply that the Red Queen Hypothesis was (and still is) worthy of further study.</w:t>
      </w:r>
    </w:p>
    <w:bookmarkEnd w:id="159"/>
    <w:bookmarkStart w:id="166"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amazel\AppData\Local\Programs\Quarto\share\formats\docx\note.png" id="16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88595"/>
                        <wp:effectExtent b="0" l="0" r="0" t="0"/>
                        <wp:docPr descr="" title="" id="164" name="Picture"/>
                        <a:graphic>
                          <a:graphicData uri="http://schemas.openxmlformats.org/drawingml/2006/picture">
                            <pic:pic>
                              <pic:nvPicPr>
                                <pic:cNvPr descr="images/fig3-7_hr.png" id="165" name="Picture"/>
                                <pic:cNvPicPr>
                                  <a:picLocks noChangeArrowheads="1" noChangeAspect="1"/>
                                </pic:cNvPicPr>
                              </pic:nvPicPr>
                              <pic:blipFill>
                                <a:blip r:embed="rId163"/>
                                <a:stretch>
                                  <a:fillRect/>
                                </a:stretch>
                              </pic:blipFill>
                              <pic:spPr bwMode="auto">
                                <a:xfrm>
                                  <a:off x="0" y="0"/>
                                  <a:ext cx="5943600" cy="308859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6"/>
    <w:bookmarkEnd w:id="167"/>
    <w:bookmarkStart w:id="200" w:name="X6b5b269cfaebc6c31145c5417ceabbba7fca3f3"/>
    <w:p>
      <w:pPr>
        <w:pStyle w:val="Heading1"/>
      </w:pPr>
      <w:r>
        <w:t xml:space="preserve">4. Self- / Non-Self-Recognition and Local Adaptation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70304" cy="1563624"/>
                  <wp:effectExtent b="0" l="0" r="0" t="0"/>
                  <wp:docPr descr="" title="" id="169" name="Picture"/>
                  <a:graphic>
                    <a:graphicData uri="http://schemas.openxmlformats.org/drawingml/2006/picture">
                      <pic:pic>
                        <pic:nvPicPr>
                          <pic:cNvPr descr="images/fig4-1.jpeg" id="170" name="Picture"/>
                          <pic:cNvPicPr>
                            <a:picLocks noChangeArrowheads="1" noChangeAspect="1"/>
                          </pic:cNvPicPr>
                        </pic:nvPicPr>
                        <pic:blipFill>
                          <a:blip r:embed="rId168"/>
                          <a:stretch>
                            <a:fillRect/>
                          </a:stretch>
                        </pic:blipFill>
                        <pic:spPr bwMode="auto">
                          <a:xfrm>
                            <a:off x="0" y="0"/>
                            <a:ext cx="1670304" cy="15636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2"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178" w:name="fig-4.1"/>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2086087"/>
                              <wp:effectExtent b="0" l="0" r="0" t="0"/>
                              <wp:docPr descr="" title="" id="173" name="Picture"/>
                              <a:graphic>
                                <a:graphicData uri="http://schemas.openxmlformats.org/drawingml/2006/picture">
                                  <pic:pic>
                                    <pic:nvPicPr>
                                      <pic:cNvPr descr="images/fig4-2.jpeg" id="174" name="Picture"/>
                                      <pic:cNvPicPr>
                                        <a:picLocks noChangeArrowheads="1" noChangeAspect="1"/>
                                      </pic:cNvPicPr>
                                    </pic:nvPicPr>
                                    <pic:blipFill>
                                      <a:blip r:embed="rId172"/>
                                      <a:stretch>
                                        <a:fillRect/>
                                      </a:stretch>
                                    </pic:blipFill>
                                    <pic:spPr bwMode="auto">
                                      <a:xfrm>
                                        <a:off x="0" y="0"/>
                                        <a:ext cx="2971800" cy="208608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The life cycle of the trematode</w:t>
                        </w:r>
                        <w:r>
                          <w:t xml:space="preserve"> </w:t>
                        </w:r>
                        <w:r>
                          <w:rPr>
                            <w:iCs/>
                            <w:i/>
                          </w:rPr>
                          <w:t xml:space="preserve">Microphallus</w:t>
                        </w:r>
                      </w:p>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3396342"/>
                              <wp:effectExtent b="0" l="0" r="0" t="0"/>
                              <wp:docPr descr="" title="" id="176" name="Picture"/>
                              <a:graphic>
                                <a:graphicData uri="http://schemas.openxmlformats.org/drawingml/2006/picture">
                                  <pic:pic>
                                    <pic:nvPicPr>
                                      <pic:cNvPr descr="images/fig4-3.jpg" id="177" name="Picture"/>
                                      <pic:cNvPicPr>
                                        <a:picLocks noChangeArrowheads="1" noChangeAspect="1"/>
                                      </pic:cNvPicPr>
                                    </pic:nvPicPr>
                                    <pic:blipFill>
                                      <a:blip r:embed="rId175"/>
                                      <a:stretch>
                                        <a:fillRect/>
                                      </a:stretch>
                                    </pic:blipFill>
                                    <pic:spPr bwMode="auto">
                                      <a:xfrm>
                                        <a:off x="0" y="0"/>
                                        <a:ext cx="2971800" cy="339634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Infected female (top) and uninfected female (bottom) of</w:t>
                        </w:r>
                        <w:r>
                          <w:t xml:space="preserve"> </w:t>
                        </w:r>
                        <w:r>
                          <w:rPr>
                            <w:iCs/>
                            <w:i/>
                          </w:rPr>
                          <w:t xml:space="preserve">P. antipodarum</w:t>
                        </w:r>
                      </w:p>
                    </w:tc>
                  </w:tr>
                </w:tbl>
                <w:p/>
              </w:tc>
            </w:tr>
          </w:tbl>
          <w:p>
            <w:pPr>
              <w:jc w:val="center"/>
            </w:pPr>
            <w:pPr>
              <w:jc w:val="start"/>
              <w:spacing w:before="200"/>
              <w:pStyle w:val="ImageCaption"/>
            </w:pPr>
            <w:pPr>
              <w:spacing w:before="200"/>
              <w:pStyle w:val="ImageCaption"/>
            </w:pPr>
            <w:r>
              <w:t xml:space="preserve">Figure 4.1:</w:t>
            </w:r>
            <w:r>
              <w:t xml:space="preserve"> </w:t>
            </w:r>
            <w:r>
              <w:rPr>
                <w:bCs/>
                <w:b/>
              </w:rPr>
              <w:t xml:space="preserve">Left panel:</w:t>
            </w:r>
            <w:r>
              <w:t xml:space="preserve"> </w:t>
            </w:r>
            <w:r>
              <w:t xml:space="preserve">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r>
              <w:t xml:space="preserve"> </w:t>
            </w:r>
            <w:r>
              <w:rPr>
                <w:bCs/>
                <w:b/>
              </w:rPr>
              <w:t xml:space="preserve">Right panel:</w:t>
            </w:r>
            <w:r>
              <w:t xml:space="preserve"> </w:t>
            </w:r>
            <w:r>
              <w:t xml:space="preserve">Infected female (top) and uninfected female (bottom) of</w:t>
            </w:r>
            <w:r>
              <w:t xml:space="preserve"> </w:t>
            </w:r>
            <w:r>
              <w:rPr>
                <w:iCs/>
                <w:i/>
              </w:rPr>
              <w:t xml:space="preserve">P. antipodarum</w:t>
            </w:r>
            <w:r>
              <w:t xml:space="preserve"> </w:t>
            </w:r>
            <w:r>
              <w:t xml:space="preserve">(Photo Credit: Gabe Harp).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78"/>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2">
        <w:r>
          <w:rPr>
            <w:rStyle w:val="Hyperlink"/>
          </w:rPr>
          <w:t xml:space="preserve">Figure 4.2</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Pr>
      <w:tblGrid>
        <w:gridCol w:w="7920"/>
      </w:tblGrid>
      <w:tr>
        <w:tc>
          <w:tcPr/>
          <w:bookmarkStart w:id="182" w:name="fig-4.2"/>
          <w:p>
            <w:pPr>
              <w:jc w:val="center"/>
            </w:pPr>
            <w:r>
              <w:drawing>
                <wp:inline>
                  <wp:extent cx="5943600" cy="3556182"/>
                  <wp:effectExtent b="0" l="0" r="0" t="0"/>
                  <wp:docPr descr="" title="" id="180" name="Picture"/>
                  <a:graphic>
                    <a:graphicData uri="http://schemas.openxmlformats.org/drawingml/2006/picture">
                      <pic:pic>
                        <pic:nvPicPr>
                          <pic:cNvPr descr="images/fig4-4.png" id="181" name="Picture"/>
                          <pic:cNvPicPr>
                            <a:picLocks noChangeArrowheads="1" noChangeAspect="1"/>
                          </pic:cNvPicPr>
                        </pic:nvPicPr>
                        <pic:blipFill>
                          <a:blip r:embed="rId179"/>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Results of the first reciprocal cross-inoculation experiment. The vertical bars show one SE of the mean. Redrawn from Lively</w:t>
            </w:r>
            <w:r>
              <w:t xml:space="preserve"> </w:t>
            </w:r>
            <w:r>
              <w:t xml:space="preserve">(1989)</w:t>
            </w:r>
            <w:r>
              <w:t xml:space="preserve">.</w:t>
            </w:r>
          </w:p>
          <w:bookmarkEnd w:id="182"/>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3">
        <w:r>
          <w:rPr>
            <w:rStyle w:val="Hyperlink"/>
          </w:rPr>
          <w:t xml:space="preserve">Figure 4.3</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4">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186" w:name="fig-4.3"/>
          <w:p>
            <w:pPr>
              <w:jc w:val="center"/>
            </w:pPr>
            <w:r>
              <w:drawing>
                <wp:inline>
                  <wp:extent cx="5943600" cy="3496652"/>
                  <wp:effectExtent b="0" l="0" r="0" t="0"/>
                  <wp:docPr descr="" title="" id="184" name="Picture"/>
                  <a:graphic>
                    <a:graphicData uri="http://schemas.openxmlformats.org/drawingml/2006/picture">
                      <pic:pic>
                        <pic:nvPicPr>
                          <pic:cNvPr descr="images/fig4-5.png" id="185" name="Picture"/>
                          <pic:cNvPicPr>
                            <a:picLocks noChangeArrowheads="1" noChangeAspect="1"/>
                          </pic:cNvPicPr>
                        </pic:nvPicPr>
                        <pic:blipFill>
                          <a:blip r:embed="rId183"/>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second reciprocal cross-inoculation experiment. Vertical bars show one SE of the mean. Redrawn from Lively</w:t>
            </w:r>
            <w:r>
              <w:t xml:space="preserve"> </w:t>
            </w:r>
            <w:r>
              <w:t xml:space="preserve">(1989)</w:t>
            </w:r>
            <w:r>
              <w:t xml:space="preserve">.</w:t>
            </w:r>
          </w:p>
          <w:bookmarkEnd w:id="186"/>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7"/>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Pr>
      <w:tblGrid>
        <w:gridCol w:w="7920"/>
      </w:tblGrid>
      <w:tr>
        <w:tc>
          <w:tcPr/>
          <w:bookmarkStart w:id="191" w:name="fig-4.4"/>
          <w:p>
            <w:pPr>
              <w:jc w:val="center"/>
            </w:pPr>
            <w:r>
              <w:drawing>
                <wp:inline>
                  <wp:extent cx="5943600" cy="6033654"/>
                  <wp:effectExtent b="0" l="0" r="0" t="0"/>
                  <wp:docPr descr="" title="" id="189" name="Picture"/>
                  <a:graphic>
                    <a:graphicData uri="http://schemas.openxmlformats.org/drawingml/2006/picture">
                      <pic:pic>
                        <pic:nvPicPr>
                          <pic:cNvPr descr="images/fig4-6.png" id="190" name="Picture"/>
                          <pic:cNvPicPr>
                            <a:picLocks noChangeArrowheads="1" noChangeAspect="1"/>
                          </pic:cNvPicPr>
                        </pic:nvPicPr>
                        <pic:blipFill>
                          <a:blip r:embed="rId188"/>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1"/>
        </w:tc>
      </w:tr>
    </w:tbl>
    <w:bookmarkEnd w:id="192"/>
    <w:bookmarkStart w:id="198"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3"/>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5">
        <w:r>
          <w:rPr>
            <w:rStyle w:val="Hyperlink"/>
          </w:rPr>
          <w:t xml:space="preserve">Figure 4.5</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Pr>
      <w:tblGrid>
        <w:gridCol w:w="7920"/>
      </w:tblGrid>
      <w:tr>
        <w:tc>
          <w:tcPr/>
          <w:bookmarkStart w:id="197" w:name="fig-4.5"/>
          <w:p>
            <w:pPr>
              <w:jc w:val="center"/>
            </w:pPr>
            <w:r>
              <w:drawing>
                <wp:inline>
                  <wp:extent cx="5943600" cy="6202935"/>
                  <wp:effectExtent b="0" l="0" r="0" t="0"/>
                  <wp:docPr descr="" title="" id="195" name="Picture"/>
                  <a:graphic>
                    <a:graphicData uri="http://schemas.openxmlformats.org/drawingml/2006/picture">
                      <pic:pic>
                        <pic:nvPicPr>
                          <pic:cNvPr descr="images/fig4-7.jpeg" id="196" name="Picture"/>
                          <pic:cNvPicPr>
                            <a:picLocks noChangeArrowheads="1" noChangeAspect="1"/>
                          </pic:cNvPicPr>
                        </pic:nvPicPr>
                        <pic:blipFill>
                          <a:blip r:embed="rId194"/>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7"/>
        </w:tc>
      </w:tr>
    </w:tbl>
    <w:bookmarkEnd w:id="198"/>
    <w:bookmarkStart w:id="199"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9"/>
    <w:bookmarkEnd w:id="200"/>
    <w:bookmarkStart w:id="202" w:name="sec-chap6"/>
    <w:p>
      <w:pPr>
        <w:pStyle w:val="Heading1"/>
      </w:pPr>
      <w:r>
        <w:t xml:space="preserve">5.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01" w:name="the-problem-1"/>
    <w:p>
      <w:pPr>
        <w:pStyle w:val="Heading2"/>
      </w:pPr>
      <w:r>
        <w:t xml:space="preserve">5.1 The Problem</w:t>
      </w:r>
    </w:p>
    <w:bookmarkEnd w:id="201"/>
    <w:bookmarkEnd w:id="202"/>
    <w:bookmarkStart w:id="330" w:name="references"/>
    <w:p>
      <w:pPr>
        <w:pStyle w:val="Heading1"/>
      </w:pPr>
      <w:r>
        <w:t xml:space="preserve">References</w:t>
      </w:r>
    </w:p>
    <w:bookmarkStart w:id="329" w:name="refs"/>
    <w:bookmarkStart w:id="20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03"/>
    <w:bookmarkStart w:id="20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04"/>
    <w:bookmarkStart w:id="205"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05"/>
    <w:bookmarkStart w:id="20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06"/>
    <w:bookmarkStart w:id="207" w:name="ref-bayley2010a"/>
    <w:p>
      <w:pPr>
        <w:pStyle w:val="Bibliography"/>
      </w:pPr>
      <w:r>
        <w:t xml:space="preserve">Bayley, M. (2010). Algebra in wonderland.</w:t>
      </w:r>
      <w:r>
        <w:t xml:space="preserve"> </w:t>
      </w:r>
      <w:r>
        <w:rPr>
          <w:iCs/>
          <w:i/>
        </w:rPr>
        <w:t xml:space="preserve">New York Times</w:t>
      </w:r>
      <w:r>
        <w:t xml:space="preserve">.</w:t>
      </w:r>
    </w:p>
    <w:bookmarkEnd w:id="207"/>
    <w:bookmarkStart w:id="20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08"/>
    <w:bookmarkStart w:id="210" w:name="ref-bell2006a"/>
    <w:p>
      <w:pPr>
        <w:pStyle w:val="Bibliography"/>
      </w:pPr>
      <w:r>
        <w:t xml:space="preserve">Bell, T., Freckleton, R.P. &amp; Lewis, O.T. (2006).</w:t>
      </w:r>
      <w:r>
        <w:t xml:space="preserve"> </w:t>
      </w:r>
      <w:hyperlink r:id="rId20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10"/>
    <w:bookmarkStart w:id="212" w:name="ref-blasco-costa2019a"/>
    <w:p>
      <w:pPr>
        <w:pStyle w:val="Bibliography"/>
      </w:pPr>
      <w:r>
        <w:t xml:space="preserve">Blasco-Costa, I., Seppälä, K., Feijen, F., Zajac, N., Klappert, K. &amp; Jokela, J. (2019).</w:t>
      </w:r>
      <w:r>
        <w:t xml:space="preserve"> </w:t>
      </w:r>
      <w:hyperlink r:id="rId211">
        <w:r>
          <w:rPr>
            <w:rStyle w:val="Hyperlink"/>
          </w:rPr>
          <w:t xml:space="preserve">A new species of</w:t>
        </w:r>
        <w:r>
          <w:rPr>
            <w:rStyle w:val="Hyperlink"/>
          </w:rPr>
          <w:t xml:space="preserve"> </w:t>
        </w:r>
        <w:r>
          <w:rPr>
            <w:rStyle w:val="Hyperlink"/>
            <w:iCs/>
            <w:i/>
          </w:rPr>
          <w:t xml:space="preserve">atriophallophorus</w:t>
        </w:r>
        <w:r>
          <w:rPr>
            <w:rStyle w:val="Hyperlink"/>
          </w:rPr>
          <w:t xml:space="preserve"> </w:t>
        </w:r>
        <w:r>
          <w:rPr>
            <w:rStyle w:val="Hyperlink"/>
          </w:rPr>
          <w:t xml:space="preserve">deblock &amp; rosé, 1964 (trematoda: Microphallidae)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(gray, 1843) (mollusca: tateidae)</w:t>
        </w:r>
      </w:hyperlink>
      <w:r>
        <w:t xml:space="preserve">.</w:t>
      </w:r>
      <w:r>
        <w:t xml:space="preserve"> </w:t>
      </w:r>
      <w:r>
        <w:rPr>
          <w:iCs/>
          <w:i/>
        </w:rPr>
        <w:t xml:space="preserve">Journal of Helminthology</w:t>
      </w:r>
      <w:r>
        <w:t xml:space="preserve">, 94, 1–15.</w:t>
      </w:r>
    </w:p>
    <w:bookmarkEnd w:id="212"/>
    <w:bookmarkStart w:id="21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13"/>
    <w:bookmarkStart w:id="21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14"/>
    <w:bookmarkStart w:id="215"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15"/>
    <w:bookmarkStart w:id="216"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16"/>
    <w:bookmarkStart w:id="217"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17"/>
    <w:bookmarkStart w:id="218"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18"/>
    <w:bookmarkStart w:id="21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19"/>
    <w:bookmarkStart w:id="221" w:name="ref-dagg2016a"/>
    <w:p>
      <w:pPr>
        <w:pStyle w:val="Bibliography"/>
      </w:pPr>
      <w:r>
        <w:t xml:space="preserve">Dagg, J. (2016).</w:t>
      </w:r>
      <w:r>
        <w:t xml:space="preserve"> </w:t>
      </w:r>
      <w:hyperlink r:id="rId22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21"/>
    <w:bookmarkStart w:id="223" w:name="ref-darwin1862a"/>
    <w:p>
      <w:pPr>
        <w:pStyle w:val="Bibliography"/>
      </w:pPr>
      <w:r>
        <w:t xml:space="preserve">Darwin, C. (1862).</w:t>
      </w:r>
      <w:r>
        <w:t xml:space="preserve"> </w:t>
      </w:r>
      <w:hyperlink r:id="rId22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23"/>
    <w:bookmarkStart w:id="22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24"/>
    <w:bookmarkStart w:id="226" w:name="ref-darwin1860a"/>
    <w:p>
      <w:pPr>
        <w:pStyle w:val="Bibliography"/>
      </w:pPr>
      <w:r>
        <w:t xml:space="preserve">Darwin, C. (n.d.).</w:t>
      </w:r>
      <w:r>
        <w:t xml:space="preserve"> </w:t>
      </w:r>
      <w:hyperlink r:id="rId225">
        <w:r>
          <w:rPr>
            <w:rStyle w:val="Hyperlink"/>
          </w:rPr>
          <w:t xml:space="preserve">Letter no. 2869</w:t>
        </w:r>
      </w:hyperlink>
      <w:r>
        <w:t xml:space="preserve">. Darwin Correspondence Project.</w:t>
      </w:r>
    </w:p>
    <w:bookmarkEnd w:id="226"/>
    <w:bookmarkStart w:id="22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27"/>
    <w:bookmarkStart w:id="229" w:name="ref-gaino1999a"/>
    <w:p>
      <w:pPr>
        <w:pStyle w:val="Bibliography"/>
      </w:pPr>
      <w:r>
        <w:t xml:space="preserve">Elda Gaino, G.B. &amp; Magnino, G. (1999).</w:t>
      </w:r>
      <w:r>
        <w:t xml:space="preserve"> </w:t>
      </w:r>
      <w:hyperlink r:id="rId22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29"/>
    <w:bookmarkStart w:id="23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30"/>
    <w:bookmarkStart w:id="23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31"/>
    <w:bookmarkStart w:id="232"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32"/>
    <w:bookmarkStart w:id="23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33"/>
    <w:bookmarkStart w:id="23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34"/>
    <w:bookmarkStart w:id="23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35"/>
    <w:bookmarkStart w:id="23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36"/>
    <w:bookmarkStart w:id="23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37"/>
    <w:bookmarkStart w:id="238" w:name="ref-gould1991a"/>
    <w:p>
      <w:pPr>
        <w:pStyle w:val="Bibliography"/>
      </w:pPr>
      <w:r>
        <w:t xml:space="preserve">Gould, S.J. (1991). The smoking gun of eugenics.</w:t>
      </w:r>
      <w:r>
        <w:t xml:space="preserve"> </w:t>
      </w:r>
      <w:r>
        <w:rPr>
          <w:iCs/>
          <w:i/>
        </w:rPr>
        <w:t xml:space="preserve">Natural History</w:t>
      </w:r>
      <w:r>
        <w:t xml:space="preserve">, 100, 8–17.</w:t>
      </w:r>
    </w:p>
    <w:bookmarkEnd w:id="238"/>
    <w:bookmarkStart w:id="239"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39"/>
    <w:bookmarkStart w:id="240" w:name="ref-hamilton1980a"/>
    <w:p>
      <w:pPr>
        <w:pStyle w:val="Bibliography"/>
      </w:pPr>
      <w:r>
        <w:t xml:space="preserve">Hamilton, W.D. (1980). Sex versus non-sex versus parasite.</w:t>
      </w:r>
      <w:r>
        <w:t xml:space="preserve"> </w:t>
      </w:r>
      <w:r>
        <w:rPr>
          <w:iCs/>
          <w:i/>
        </w:rPr>
        <w:t xml:space="preserve">Oikos</w:t>
      </w:r>
      <w:r>
        <w:t xml:space="preserve">, 35, 282–290.</w:t>
      </w:r>
    </w:p>
    <w:bookmarkEnd w:id="240"/>
    <w:bookmarkStart w:id="241"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41"/>
    <w:bookmarkStart w:id="242"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42"/>
    <w:bookmarkStart w:id="2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43"/>
    <w:bookmarkStart w:id="2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44"/>
    <w:bookmarkStart w:id="246" w:name="ref-kelley1993a"/>
    <w:p>
      <w:pPr>
        <w:pStyle w:val="Bibliography"/>
      </w:pPr>
      <w:r>
        <w:t xml:space="preserve">Kelley, S.E. (1993).</w:t>
      </w:r>
      <w:r>
        <w:t xml:space="preserve"> </w:t>
      </w:r>
      <w:hyperlink r:id="rId24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46"/>
    <w:bookmarkStart w:id="248" w:name="ref-kelley1994a"/>
    <w:p>
      <w:pPr>
        <w:pStyle w:val="Bibliography"/>
      </w:pPr>
      <w:r>
        <w:t xml:space="preserve">Kelley, S.E. (1994).</w:t>
      </w:r>
      <w:r>
        <w:t xml:space="preserve"> </w:t>
      </w:r>
      <w:hyperlink r:id="rId24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48"/>
    <w:bookmarkStart w:id="24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49"/>
    <w:bookmarkStart w:id="250"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50"/>
    <w:bookmarkStart w:id="251"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51"/>
    <w:bookmarkStart w:id="2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52"/>
    <w:bookmarkStart w:id="25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53"/>
    <w:bookmarkStart w:id="25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54"/>
    <w:bookmarkStart w:id="25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55"/>
    <w:bookmarkStart w:id="25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56"/>
    <w:bookmarkStart w:id="258" w:name="ref-levri2000a"/>
    <w:p>
      <w:pPr>
        <w:pStyle w:val="Bibliography"/>
      </w:pPr>
      <w:r>
        <w:t xml:space="preserve">Levri, E.P. &amp; Fisher, L.M. (2000).</w:t>
      </w:r>
      <w:r>
        <w:t xml:space="preserve"> </w:t>
      </w:r>
      <w:hyperlink r:id="rId25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58"/>
    <w:bookmarkStart w:id="25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59"/>
    <w:bookmarkStart w:id="261" w:name="ref-lewontin1971a"/>
    <w:p>
      <w:pPr>
        <w:pStyle w:val="Bibliography"/>
      </w:pPr>
      <w:r>
        <w:t xml:space="preserve">Lewontin, R.C. (1971).</w:t>
      </w:r>
      <w:r>
        <w:t xml:space="preserve"> </w:t>
      </w:r>
      <w:hyperlink r:id="rId26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61"/>
    <w:bookmarkStart w:id="26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62"/>
    <w:bookmarkStart w:id="26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63"/>
    <w:bookmarkStart w:id="265" w:name="ref-lively1986c"/>
    <w:p>
      <w:pPr>
        <w:pStyle w:val="Bibliography"/>
      </w:pPr>
      <w:r>
        <w:t xml:space="preserve">Lively, C.M. (1986c).</w:t>
      </w:r>
      <w:r>
        <w:t xml:space="preserve"> </w:t>
      </w:r>
      <w:hyperlink r:id="rId26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65"/>
    <w:bookmarkStart w:id="26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66"/>
    <w:bookmarkStart w:id="26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67"/>
    <w:bookmarkStart w:id="26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68"/>
    <w:bookmarkStart w:id="269" w:name="ref-lively1996a"/>
    <w:p>
      <w:pPr>
        <w:pStyle w:val="Bibliography"/>
      </w:pPr>
      <w:r>
        <w:t xml:space="preserve">Lively, C.M. (1996). Host-parasite coevolution and sex.</w:t>
      </w:r>
      <w:r>
        <w:t xml:space="preserve"> </w:t>
      </w:r>
      <w:r>
        <w:rPr>
          <w:iCs/>
          <w:i/>
        </w:rPr>
        <w:t xml:space="preserve">Bioscience</w:t>
      </w:r>
      <w:r>
        <w:t xml:space="preserve">, 46, 107–109.</w:t>
      </w:r>
    </w:p>
    <w:bookmarkEnd w:id="269"/>
    <w:bookmarkStart w:id="27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70"/>
    <w:bookmarkStart w:id="272" w:name="ref-lively1999a"/>
    <w:p>
      <w:pPr>
        <w:pStyle w:val="Bibliography"/>
      </w:pPr>
      <w:r>
        <w:t xml:space="preserve">Lively, C.M. (1999b).</w:t>
      </w:r>
      <w:r>
        <w:t xml:space="preserve"> </w:t>
      </w:r>
      <w:hyperlink r:id="rId27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72"/>
    <w:bookmarkStart w:id="27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73"/>
    <w:bookmarkStart w:id="274" w:name="ref-lively2006a"/>
    <w:p>
      <w:pPr>
        <w:pStyle w:val="Bibliography"/>
      </w:pPr>
      <w:r>
        <w:t xml:space="preserve">Lively, C.M. (2006). The ecology of virulence.</w:t>
      </w:r>
      <w:r>
        <w:t xml:space="preserve"> </w:t>
      </w:r>
      <w:r>
        <w:rPr>
          <w:iCs/>
          <w:i/>
        </w:rPr>
        <w:t xml:space="preserve">Ecology Letters</w:t>
      </w:r>
      <w:r>
        <w:t xml:space="preserve">, 9, 1089–1095.</w:t>
      </w:r>
    </w:p>
    <w:bookmarkEnd w:id="274"/>
    <w:bookmarkStart w:id="27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75"/>
    <w:bookmarkStart w:id="2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76"/>
    <w:bookmarkStart w:id="278" w:name="ref-lively1994b"/>
    <w:p>
      <w:pPr>
        <w:pStyle w:val="Bibliography"/>
      </w:pPr>
      <w:r>
        <w:t xml:space="preserve">Lively, C.M. &amp; Johnson, S.G. (1994).</w:t>
      </w:r>
      <w:r>
        <w:t xml:space="preserve"> </w:t>
      </w:r>
      <w:hyperlink r:id="rId27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78"/>
    <w:bookmarkStart w:id="280" w:name="ref-lively1995a"/>
    <w:p>
      <w:pPr>
        <w:pStyle w:val="Bibliography"/>
      </w:pPr>
      <w:r>
        <w:t xml:space="preserve">Lively, C.M., Johnson, S.G., Delph, L.F. &amp; Clay, K. (1995).</w:t>
      </w:r>
      <w:r>
        <w:t xml:space="preserve"> </w:t>
      </w:r>
      <w:hyperlink r:id="rId27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80"/>
    <w:bookmarkStart w:id="28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81"/>
    <w:bookmarkStart w:id="28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282"/>
    <w:bookmarkStart w:id="284" w:name="ref-lively2022a"/>
    <w:p>
      <w:pPr>
        <w:pStyle w:val="Bibliography"/>
      </w:pPr>
      <w:r>
        <w:t xml:space="preserve">Lively, C.M. &amp; Wade, M.J. (2022).</w:t>
      </w:r>
      <w:r>
        <w:t xml:space="preserve"> </w:t>
      </w:r>
      <w:hyperlink r:id="rId28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284"/>
    <w:bookmarkStart w:id="286" w:name="ref-lively2021a"/>
    <w:p>
      <w:pPr>
        <w:pStyle w:val="Bibliography"/>
      </w:pPr>
      <w:r>
        <w:t xml:space="preserve">Lively, C.M., Xu, J. &amp; Ben-Ami, F. (2021).</w:t>
      </w:r>
      <w:r>
        <w:t xml:space="preserve"> </w:t>
      </w:r>
      <w:hyperlink r:id="rId28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286"/>
    <w:bookmarkStart w:id="28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287"/>
    <w:bookmarkStart w:id="28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288"/>
    <w:bookmarkStart w:id="289"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289"/>
    <w:bookmarkStart w:id="291" w:name="ref-may1983a"/>
    <w:p>
      <w:pPr>
        <w:pStyle w:val="Bibliography"/>
      </w:pPr>
      <w:r>
        <w:t xml:space="preserve">May, R.M. &amp; Anderson, R.M. (1983).</w:t>
      </w:r>
      <w:r>
        <w:t xml:space="preserve"> </w:t>
      </w:r>
      <w:hyperlink r:id="rId290">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291"/>
    <w:bookmarkStart w:id="292"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292"/>
    <w:bookmarkStart w:id="293"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293"/>
    <w:bookmarkStart w:id="294" w:name="ref-maynard1978a"/>
    <w:p>
      <w:pPr>
        <w:pStyle w:val="Bibliography"/>
      </w:pPr>
      <w:r>
        <w:t xml:space="preserve">Maynard Smith, J. (1978).</w:t>
      </w:r>
      <w:r>
        <w:t xml:space="preserve"> </w:t>
      </w:r>
      <w:r>
        <w:rPr>
          <w:iCs/>
          <w:i/>
        </w:rPr>
        <w:t xml:space="preserve">The evolution of sex</w:t>
      </w:r>
      <w:r>
        <w:t xml:space="preserve">. Cambridge University Press.</w:t>
      </w:r>
    </w:p>
    <w:bookmarkEnd w:id="294"/>
    <w:bookmarkStart w:id="296" w:name="ref-maynard1980a"/>
    <w:p>
      <w:pPr>
        <w:pStyle w:val="Bibliography"/>
      </w:pPr>
      <w:r>
        <w:t xml:space="preserve">Maynard Smith, J. &amp; Hoekstra, R. (1980).</w:t>
      </w:r>
      <w:r>
        <w:t xml:space="preserve"> </w:t>
      </w:r>
      <w:hyperlink r:id="rId295">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296"/>
    <w:bookmarkStart w:id="297"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297"/>
    <w:bookmarkStart w:id="298"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298"/>
    <w:bookmarkStart w:id="29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299"/>
    <w:bookmarkStart w:id="300"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00"/>
    <w:bookmarkStart w:id="30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01"/>
    <w:bookmarkStart w:id="30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02"/>
    <w:bookmarkStart w:id="30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03"/>
    <w:bookmarkStart w:id="30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04"/>
    <w:bookmarkStart w:id="30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05"/>
    <w:bookmarkStart w:id="307" w:name="ref-phillips1990a"/>
    <w:p>
      <w:pPr>
        <w:pStyle w:val="Bibliography"/>
      </w:pPr>
      <w:r>
        <w:t xml:space="preserve">Phillips, N.R. &amp; Lambert, D.M. (1990).</w:t>
      </w:r>
      <w:r>
        <w:t xml:space="preserve"> </w:t>
      </w:r>
      <w:hyperlink r:id="rId30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07"/>
    <w:bookmarkStart w:id="308" w:name="ref-platt1964a"/>
    <w:p>
      <w:pPr>
        <w:pStyle w:val="Bibliography"/>
      </w:pPr>
      <w:r>
        <w:t xml:space="preserve">Platt, J.R. (1964). Strong inference.</w:t>
      </w:r>
      <w:r>
        <w:t xml:space="preserve"> </w:t>
      </w:r>
      <w:r>
        <w:rPr>
          <w:iCs/>
          <w:i/>
        </w:rPr>
        <w:t xml:space="preserve">Science</w:t>
      </w:r>
      <w:r>
        <w:t xml:space="preserve">, 146, 347–353.</w:t>
      </w:r>
    </w:p>
    <w:bookmarkEnd w:id="308"/>
    <w:bookmarkStart w:id="30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09"/>
    <w:bookmarkStart w:id="31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10"/>
    <w:bookmarkStart w:id="31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11"/>
    <w:bookmarkStart w:id="31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12"/>
    <w:bookmarkStart w:id="3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13"/>
    <w:bookmarkStart w:id="314" w:name="ref-smith2003a"/>
    <w:p>
      <w:pPr>
        <w:pStyle w:val="Bibliography"/>
      </w:pPr>
      <w:r>
        <w:t xml:space="preserve">Smith, S. (n.d.).</w:t>
      </w:r>
      <w:r>
        <w:t xml:space="preserve"> </w:t>
      </w:r>
      <w:hyperlink r:id="rId97">
        <w:r>
          <w:rPr>
            <w:rStyle w:val="Hyperlink"/>
          </w:rPr>
          <w:t xml:space="preserve">The mathematician</w:t>
        </w:r>
        <w:r>
          <w:rPr>
            <w:rStyle w:val="Hyperlink"/>
          </w:rPr>
          <w:t xml:space="preserve"> </w:t>
        </w:r>
        <w:r>
          <w:rPr>
            <w:rStyle w:val="Hyperlink"/>
          </w:rPr>
          <w:t xml:space="preserve">Lewis Carroll</w:t>
        </w:r>
      </w:hyperlink>
      <w:r>
        <w:t xml:space="preserve">.</w:t>
      </w:r>
    </w:p>
    <w:bookmarkEnd w:id="314"/>
    <w:bookmarkStart w:id="315"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15"/>
    <w:bookmarkStart w:id="316"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16"/>
    <w:bookmarkStart w:id="317"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17"/>
    <w:bookmarkStart w:id="318"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18"/>
    <w:bookmarkStart w:id="319" w:name="ref-valen1973a"/>
    <w:p>
      <w:pPr>
        <w:pStyle w:val="Bibliography"/>
      </w:pPr>
      <w:r>
        <w:t xml:space="preserve">Valen, L. van. (1973). A new evolutionary law.</w:t>
      </w:r>
      <w:r>
        <w:t xml:space="preserve"> </w:t>
      </w:r>
      <w:r>
        <w:rPr>
          <w:iCs/>
          <w:i/>
        </w:rPr>
        <w:t xml:space="preserve">Evolutionary Theory</w:t>
      </w:r>
      <w:r>
        <w:t xml:space="preserve">, 1, 1–30.</w:t>
      </w:r>
    </w:p>
    <w:bookmarkEnd w:id="319"/>
    <w:bookmarkStart w:id="320"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20"/>
    <w:bookmarkStart w:id="321"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21"/>
    <w:bookmarkStart w:id="322"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22"/>
    <w:bookmarkStart w:id="323" w:name="ref-wallace1975a"/>
    <w:p>
      <w:pPr>
        <w:pStyle w:val="Bibliography"/>
      </w:pPr>
      <w:r>
        <w:t xml:space="preserve">Wallace, B. (1975). Hard and soft selection revisited.</w:t>
      </w:r>
      <w:r>
        <w:t xml:space="preserve"> </w:t>
      </w:r>
      <w:r>
        <w:rPr>
          <w:iCs/>
          <w:i/>
        </w:rPr>
        <w:t xml:space="preserve">Evolution</w:t>
      </w:r>
      <w:r>
        <w:t xml:space="preserve">, 29, 465–473.</w:t>
      </w:r>
    </w:p>
    <w:bookmarkEnd w:id="323"/>
    <w:bookmarkStart w:id="32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24"/>
    <w:bookmarkStart w:id="325" w:name="ref-williams1975a"/>
    <w:p>
      <w:pPr>
        <w:pStyle w:val="Bibliography"/>
      </w:pPr>
      <w:r>
        <w:t xml:space="preserve">Williams, G.C. (1975).</w:t>
      </w:r>
      <w:r>
        <w:t xml:space="preserve"> </w:t>
      </w:r>
      <w:r>
        <w:rPr>
          <w:iCs/>
          <w:i/>
        </w:rPr>
        <w:t xml:space="preserve">Sex and evolution</w:t>
      </w:r>
      <w:r>
        <w:t xml:space="preserve">. Princeton University Press.</w:t>
      </w:r>
    </w:p>
    <w:bookmarkEnd w:id="325"/>
    <w:bookmarkStart w:id="32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26"/>
    <w:bookmarkStart w:id="327"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27"/>
    <w:bookmarkStart w:id="32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28"/>
    <w:bookmarkEnd w:id="329"/>
    <w:bookmarkEnd w:id="33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3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4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5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2">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73">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7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7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84">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7">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00">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01">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02">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3">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04">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1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9">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2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29">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3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1">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32">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13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4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 w:id="171">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7">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3">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69" Target="media/rId69.jp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33" Target="media/rId133.jp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4" Target="media/rId194.jpg" /><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2023-12-06T19:38:45Z</dcterms:created>
  <dcterms:modified xsi:type="dcterms:W3CDTF">2023-12-06T19:38:45Z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06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fig-cap-location">
    <vt:lpwstr>margin</vt:lpwstr>
  </property>
  <property fmtid="{D5CDD505-2E9C-101B-9397-08002B2CF9AE}" pid="16" name="google-scholar">
    <vt:lpwstr>True</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toc-title">
    <vt:lpwstr>Contents</vt:lpwstr>
  </property>
</Properties>
</file>